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28748">
      <w:pPr>
        <w:keepNext w:val="0"/>
        <w:keepLines w:val="0"/>
        <w:widowControl/>
        <w:suppressLineNumbers w:val="0"/>
        <w:jc w:val="left"/>
        <w:textAlignment w:val="center"/>
        <w:rPr>
          <w:rFonts w:hint="default"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w:t>
      </w:r>
    </w:p>
    <w:tbl>
      <w:tblPr>
        <w:tblStyle w:val="4"/>
        <w:tblW w:w="130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6030"/>
        <w:gridCol w:w="6375"/>
      </w:tblGrid>
      <w:tr w14:paraId="7643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3036" w:type="dxa"/>
            <w:gridSpan w:val="3"/>
            <w:tcBorders>
              <w:top w:val="nil"/>
              <w:left w:val="nil"/>
              <w:bottom w:val="nil"/>
              <w:right w:val="nil"/>
            </w:tcBorders>
            <w:shd w:val="clear" w:color="auto" w:fill="auto"/>
            <w:noWrap/>
            <w:vAlign w:val="center"/>
          </w:tcPr>
          <w:p w14:paraId="44919C56">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lang w:val="en-US"/>
              </w:rPr>
            </w:pPr>
            <w:r>
              <w:rPr>
                <w:rFonts w:hint="default" w:ascii="Times New Roman" w:hAnsi="Times New Roman" w:eastAsia="方正小标宋简体" w:cs="Times New Roman"/>
                <w:i w:val="0"/>
                <w:iCs w:val="0"/>
                <w:color w:val="000000"/>
                <w:kern w:val="0"/>
                <w:sz w:val="44"/>
                <w:szCs w:val="44"/>
                <w:u w:val="none"/>
                <w:lang w:val="en-US" w:eastAsia="zh-CN" w:bidi="ar"/>
              </w:rPr>
              <w:t>20</w:t>
            </w:r>
            <w:r>
              <w:rPr>
                <w:rFonts w:hint="eastAsia" w:ascii="Times New Roman" w:hAnsi="Times New Roman" w:eastAsia="方正小标宋简体" w:cs="Times New Roman"/>
                <w:i w:val="0"/>
                <w:iCs w:val="0"/>
                <w:color w:val="000000"/>
                <w:kern w:val="0"/>
                <w:sz w:val="44"/>
                <w:szCs w:val="44"/>
                <w:u w:val="none"/>
                <w:lang w:val="en-US" w:eastAsia="zh-CN" w:bidi="ar"/>
              </w:rPr>
              <w:t>26</w:t>
            </w:r>
            <w:r>
              <w:rPr>
                <w:rFonts w:hint="default" w:ascii="Times New Roman" w:hAnsi="Times New Roman" w:eastAsia="方正小标宋简体" w:cs="Times New Roman"/>
                <w:i w:val="0"/>
                <w:iCs w:val="0"/>
                <w:color w:val="000000"/>
                <w:kern w:val="0"/>
                <w:sz w:val="44"/>
                <w:szCs w:val="44"/>
                <w:u w:val="none"/>
                <w:lang w:val="en-US" w:eastAsia="zh-CN" w:bidi="ar"/>
              </w:rPr>
              <w:t>年第</w:t>
            </w:r>
            <w:r>
              <w:rPr>
                <w:rFonts w:hint="eastAsia" w:ascii="Times New Roman" w:hAnsi="Times New Roman" w:eastAsia="方正小标宋简体" w:cs="Times New Roman"/>
                <w:i w:val="0"/>
                <w:iCs w:val="0"/>
                <w:color w:val="000000"/>
                <w:kern w:val="0"/>
                <w:sz w:val="44"/>
                <w:szCs w:val="44"/>
                <w:u w:val="none"/>
                <w:lang w:val="en-US" w:eastAsia="zh-CN" w:bidi="ar"/>
              </w:rPr>
              <w:t>一</w:t>
            </w:r>
            <w:r>
              <w:rPr>
                <w:rFonts w:hint="default" w:ascii="Times New Roman" w:hAnsi="Times New Roman" w:eastAsia="方正小标宋简体" w:cs="Times New Roman"/>
                <w:i w:val="0"/>
                <w:iCs w:val="0"/>
                <w:color w:val="000000"/>
                <w:kern w:val="0"/>
                <w:sz w:val="44"/>
                <w:szCs w:val="44"/>
                <w:u w:val="none"/>
                <w:lang w:val="en-US" w:eastAsia="zh-CN" w:bidi="ar"/>
              </w:rPr>
              <w:t>批团体标准立项</w:t>
            </w:r>
            <w:bookmarkStart w:id="0" w:name="_GoBack"/>
            <w:bookmarkEnd w:id="0"/>
            <w:r>
              <w:rPr>
                <w:rFonts w:hint="default" w:ascii="Times New Roman" w:hAnsi="Times New Roman" w:eastAsia="方正小标宋简体" w:cs="Times New Roman"/>
                <w:i w:val="0"/>
                <w:iCs w:val="0"/>
                <w:color w:val="000000"/>
                <w:kern w:val="0"/>
                <w:sz w:val="44"/>
                <w:szCs w:val="44"/>
                <w:u w:val="none"/>
                <w:lang w:val="en-US" w:eastAsia="zh-CN" w:bidi="ar"/>
              </w:rPr>
              <w:t>名单</w:t>
            </w:r>
          </w:p>
        </w:tc>
      </w:tr>
      <w:tr w14:paraId="782D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519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序号</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AD0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名称</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9B4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起草单位</w:t>
            </w:r>
          </w:p>
        </w:tc>
      </w:tr>
      <w:tr w14:paraId="0CE1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941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1</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734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钢轨裂纹量子精密检测技术规程</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8F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高速铁路建造技术国家工程研究中心、中国中铁股份有限公司、安徽省国盛量子科技有限公司、中南大学、湖南高铁智检科技有限公司、高铁科技(湖南)有限公司、湖南高铁检维科技有限公司、山东铁路投资控股集团有限公司、中铁三局集团有限公司、中铁上海工程局集团有限公司、中国铁路沈阳局集团有限公司、中国铁路武汉局集团有限公司</w:t>
            </w:r>
          </w:p>
        </w:tc>
      </w:tr>
      <w:tr w14:paraId="561F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EA5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2</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52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公路货运车辆不停车称重系统运维技术评估方法</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62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交通运输部公路科学研究所、盘天(厦门)智能交通有限公司、交科院集团有展公司、北京万集科技股份有限公司、武汉市路安电子科技集团着限司中佛源科物联网系统有限公司</w:t>
            </w:r>
          </w:p>
        </w:tc>
      </w:tr>
      <w:tr w14:paraId="0B6F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FBB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3</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30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基于硅晶格常数的纳米线宽校准方法系列标准</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024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中国计量科学研究院、国家纳米科学中心、中北大学</w:t>
            </w:r>
          </w:p>
        </w:tc>
      </w:tr>
      <w:tr w14:paraId="18BA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5AB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4</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BD9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气体涡轮流量计评价规范</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570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国家石油天然气管网集团有限公司西气东输分公司武汉计量研究中心、江苏省质量技术监督气体流量计量检测中心、天津大学、天信仪表集团有限公司、北京市燃气集团有限责任公司、江苏中宁计量科技有限公司、浙江苍南仪表集团股份有限公司</w:t>
            </w:r>
          </w:p>
        </w:tc>
      </w:tr>
      <w:tr w14:paraId="44EC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838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5</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2A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气体腰轮流量计应用评价规范</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341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天信仪表集团有限公司、浙江省质量科学研究院、江苏省质量技术监督气体流量计量检测中心、北京市燃气集团有限责任公司</w:t>
            </w:r>
          </w:p>
        </w:tc>
      </w:tr>
      <w:tr w14:paraId="12FF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173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6</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77D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温室气体产品碳足迹量化计量评价技术规范 燃气表</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164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江苏省质量技术监督气体流量计量检测中心、中国市政工程华北设计研究总院有限公司、天津能碳测控科技有限公司</w:t>
            </w:r>
          </w:p>
        </w:tc>
      </w:tr>
      <w:tr w14:paraId="4C2A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7A6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7</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B66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人工智能教学无人机计量与测试技术规范</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D50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杭州智达未来无人机科技有限公司</w:t>
            </w:r>
            <w:r>
              <w:rPr>
                <w:rFonts w:hint="eastAsia" w:ascii="Times New Roman" w:hAnsi="Times New Roman" w:eastAsia="仿宋_GB2312" w:cs="Times New Roman"/>
                <w:b w:val="0"/>
                <w:bCs w:val="0"/>
                <w:i w:val="0"/>
                <w:iCs w:val="0"/>
                <w:color w:val="000000"/>
                <w:kern w:val="0"/>
                <w:sz w:val="32"/>
                <w:szCs w:val="32"/>
                <w:u w:val="none"/>
                <w:lang w:val="en-US" w:eastAsia="zh-CN" w:bidi="ar"/>
              </w:rPr>
              <w:t>、</w:t>
            </w:r>
            <w:r>
              <w:rPr>
                <w:rFonts w:hint="default" w:ascii="Times New Roman" w:hAnsi="Times New Roman" w:eastAsia="仿宋_GB2312" w:cs="Times New Roman"/>
                <w:b w:val="0"/>
                <w:bCs w:val="0"/>
                <w:i w:val="0"/>
                <w:iCs w:val="0"/>
                <w:color w:val="000000"/>
                <w:kern w:val="0"/>
                <w:sz w:val="32"/>
                <w:szCs w:val="32"/>
                <w:u w:val="none"/>
                <w:lang w:val="en-US" w:eastAsia="zh-CN" w:bidi="ar"/>
              </w:rPr>
              <w:t>济南九爻智能科技有限公司</w:t>
            </w:r>
            <w:r>
              <w:rPr>
                <w:rFonts w:hint="eastAsia" w:ascii="Times New Roman" w:hAnsi="Times New Roman" w:eastAsia="仿宋_GB2312" w:cs="Times New Roman"/>
                <w:b w:val="0"/>
                <w:bCs w:val="0"/>
                <w:i w:val="0"/>
                <w:iCs w:val="0"/>
                <w:color w:val="000000"/>
                <w:kern w:val="0"/>
                <w:sz w:val="32"/>
                <w:szCs w:val="32"/>
                <w:u w:val="none"/>
                <w:lang w:val="en-US" w:eastAsia="zh-CN" w:bidi="ar"/>
              </w:rPr>
              <w:t>、</w:t>
            </w:r>
            <w:r>
              <w:rPr>
                <w:rFonts w:hint="default" w:ascii="Times New Roman" w:hAnsi="Times New Roman" w:eastAsia="仿宋_GB2312" w:cs="Times New Roman"/>
                <w:b w:val="0"/>
                <w:bCs w:val="0"/>
                <w:i w:val="0"/>
                <w:iCs w:val="0"/>
                <w:color w:val="000000"/>
                <w:kern w:val="0"/>
                <w:sz w:val="32"/>
                <w:szCs w:val="32"/>
                <w:u w:val="none"/>
                <w:lang w:val="en-US" w:eastAsia="zh-CN" w:bidi="ar"/>
              </w:rPr>
              <w:t>西安汇航无人机科技有限公司</w:t>
            </w:r>
          </w:p>
        </w:tc>
      </w:tr>
      <w:tr w14:paraId="0325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B77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8</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37F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北方农田干旱、盐碱逆境非必需元素精准计量施用方法</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3BD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中国农业科学院农业环境与可持续发展研究所、淄博数字农业农村研究院、北方农牧业技术创新中心</w:t>
            </w:r>
          </w:p>
        </w:tc>
      </w:tr>
      <w:tr w14:paraId="1C94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E64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9</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F35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北方土壤水分运输、保持性能提升措施精准计量决策</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353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淄博数字农业农村研究院、中国农业科学院农业环境与可持续发展研究所、北方农牧业技术创新中心、淄博乐悠悠农业科技有限公司</w:t>
            </w:r>
          </w:p>
        </w:tc>
      </w:tr>
      <w:tr w14:paraId="5142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C00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10</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6B9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同步辐射X射线功率计检测规范</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3EB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中国计量科学研究院、中国科学院高能物理研究所、中国科学院上海高等研究院、中国工程物理研究院激光聚变研究中心、西北核技术研究院</w:t>
            </w:r>
          </w:p>
        </w:tc>
      </w:tr>
    </w:tbl>
    <w:p w14:paraId="6EFCE4B2">
      <w:pPr>
        <w:rPr>
          <w:b w:val="0"/>
          <w:bCs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D1496"/>
    <w:rsid w:val="01A50B7A"/>
    <w:rsid w:val="1A510948"/>
    <w:rsid w:val="29755E6A"/>
    <w:rsid w:val="2C355316"/>
    <w:rsid w:val="2E03680A"/>
    <w:rsid w:val="2F1D5370"/>
    <w:rsid w:val="32E75FB5"/>
    <w:rsid w:val="330D2E00"/>
    <w:rsid w:val="36E6361F"/>
    <w:rsid w:val="387F6B81"/>
    <w:rsid w:val="3AEB7E3D"/>
    <w:rsid w:val="43EE22A4"/>
    <w:rsid w:val="493D01DF"/>
    <w:rsid w:val="4A9D1496"/>
    <w:rsid w:val="58A13906"/>
    <w:rsid w:val="58E226DD"/>
    <w:rsid w:val="67232AC6"/>
    <w:rsid w:val="69162D95"/>
    <w:rsid w:val="698F16E4"/>
    <w:rsid w:val="6B43570C"/>
    <w:rsid w:val="6D3F071D"/>
    <w:rsid w:val="6DA5066D"/>
    <w:rsid w:val="6EFF28A8"/>
    <w:rsid w:val="7305788A"/>
    <w:rsid w:val="76825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楷体" w:hAnsi="楷体" w:eastAsia="楷体" w:cs="楷体"/>
      <w:color w:val="000000"/>
      <w:sz w:val="22"/>
      <w:szCs w:val="22"/>
      <w:u w:val="none"/>
    </w:rPr>
  </w:style>
  <w:style w:type="character" w:customStyle="1" w:styleId="8">
    <w:name w:val="font41"/>
    <w:basedOn w:val="6"/>
    <w:qFormat/>
    <w:uiPriority w:val="0"/>
    <w:rPr>
      <w:rFonts w:ascii="Arial" w:hAnsi="Arial" w:cs="Arial"/>
      <w:color w:val="000000"/>
      <w:sz w:val="22"/>
      <w:szCs w:val="22"/>
      <w:u w:val="none"/>
    </w:rPr>
  </w:style>
  <w:style w:type="paragraph" w:customStyle="1" w:styleId="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
    <w:name w:val="标准文件_文件名称"/>
    <w:basedOn w:val="9"/>
    <w:next w:val="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888</Words>
  <Characters>892</Characters>
  <Lines>0</Lines>
  <Paragraphs>0</Paragraphs>
  <TotalTime>1</TotalTime>
  <ScaleCrop>false</ScaleCrop>
  <LinksUpToDate>false</LinksUpToDate>
  <CharactersWithSpaces>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2025-04-08T07:04:00Z</dcterms:created>
  <dc:creator>张凯瑞的文件搬运工</dc:creator>
  <cp:lastModifiedBy>张凯瑞的文件搬运工</cp:lastModifiedBy>
  <cp:lastPrinted>2026-04-21T08:10:02Z</cp:lastPrinted>
  <dcterms:modified xsi:type="dcterms:W3CDTF">2026-04-21T08:11:14Z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AE28BDAD941B46C7B4F05F3568317157_13</vt:lpwstr>
  </property>
  <property fmtid="{D5CDD505-2E9C-101B-9397-08002B2CF9AE}" pid="4" name="KSOTemplateDocerSaveRecord">
    <vt:lpwstr>eyJoZGlkIjoiMmVjNzEwMDg2YTZlODE4OTliZjhkNjlmMjNiZDk2NWEiLCJ1c2VySWQiOiIxMTc4MzQzOTIyIn0=</vt:lpwstr>
  </property>
</Properties>
</file>